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17" w:rsidRPr="00DA680A" w:rsidRDefault="00A24817" w:rsidP="00A24817">
      <w:pPr>
        <w:jc w:val="center"/>
        <w:rPr>
          <w:rFonts w:ascii="Algerian" w:eastAsia="SimHei" w:hAnsi="Algerian"/>
          <w:b/>
          <w:iCs/>
          <w:noProof/>
          <w:color w:val="000000"/>
          <w:spacing w:val="15"/>
          <w:sz w:val="32"/>
          <w:szCs w:val="32"/>
          <w:u w:val="single"/>
        </w:rPr>
      </w:pPr>
      <w:r w:rsidRPr="00DA680A">
        <w:rPr>
          <w:rFonts w:ascii="Algerian" w:eastAsia="SimHei" w:hAnsi="Algerian"/>
          <w:b/>
          <w:iCs/>
          <w:noProof/>
          <w:color w:val="000000"/>
          <w:spacing w:val="15"/>
          <w:sz w:val="32"/>
          <w:szCs w:val="32"/>
          <w:u w:val="single"/>
        </w:rPr>
        <w:t>Nouveauté</w:t>
      </w:r>
      <w:r w:rsidR="005571C0">
        <w:rPr>
          <w:rFonts w:ascii="Algerian" w:eastAsia="SimHei" w:hAnsi="Algerian"/>
          <w:b/>
          <w:iCs/>
          <w:noProof/>
          <w:color w:val="000000"/>
          <w:spacing w:val="15"/>
          <w:sz w:val="32"/>
          <w:szCs w:val="32"/>
          <w:u w:val="single"/>
        </w:rPr>
        <w:t xml:space="preserve"> site de rangueil</w:t>
      </w:r>
    </w:p>
    <w:p w:rsidR="00A24817" w:rsidRPr="00DA680A" w:rsidRDefault="00DF2C6B" w:rsidP="00A24817">
      <w:pPr>
        <w:jc w:val="center"/>
        <w:rPr>
          <w:rFonts w:ascii="Algerian" w:eastAsia="SimHei" w:hAnsi="Algerian" w:cs="Times New Roman"/>
          <w:iCs/>
          <w:noProof/>
          <w:color w:val="000000" w:themeColor="text1"/>
          <w:spacing w:val="15"/>
          <w:sz w:val="32"/>
          <w:szCs w:val="32"/>
        </w:rPr>
      </w:pPr>
      <w:r w:rsidRPr="00DA680A">
        <w:rPr>
          <w:rFonts w:ascii="Algerian" w:eastAsia="SimHei" w:hAnsi="Algerian"/>
          <w:iCs/>
          <w:noProof/>
          <w:color w:val="000000"/>
          <w:spacing w:val="15"/>
          <w:sz w:val="32"/>
          <w:szCs w:val="32"/>
        </w:rPr>
        <w:t>U</w:t>
      </w:r>
      <w:r w:rsidR="00A24817" w:rsidRPr="00DA680A">
        <w:rPr>
          <w:rFonts w:ascii="Algerian" w:eastAsia="SimHei" w:hAnsi="Algerian"/>
          <w:iCs/>
          <w:noProof/>
          <w:color w:val="000000"/>
          <w:spacing w:val="15"/>
          <w:sz w:val="32"/>
          <w:szCs w:val="32"/>
        </w:rPr>
        <w:t xml:space="preserve">ne </w:t>
      </w:r>
      <w:r w:rsidR="00A24817" w:rsidRPr="00DA680A">
        <w:rPr>
          <w:rFonts w:ascii="Algerian" w:eastAsia="SimHei" w:hAnsi="Algerian" w:cs="Times New Roman"/>
          <w:iCs/>
          <w:noProof/>
          <w:color w:val="000000" w:themeColor="text1"/>
          <w:spacing w:val="15"/>
          <w:sz w:val="32"/>
          <w:szCs w:val="32"/>
        </w:rPr>
        <w:t xml:space="preserve">revue de presse est consultable </w:t>
      </w:r>
    </w:p>
    <w:p w:rsidR="00A24817" w:rsidRPr="00DA680A" w:rsidRDefault="00A24817" w:rsidP="00A24817">
      <w:pPr>
        <w:jc w:val="center"/>
        <w:rPr>
          <w:rFonts w:ascii="Algerian" w:eastAsia="SimHei" w:hAnsi="Algerian" w:cs="Times New Roman"/>
          <w:iCs/>
          <w:noProof/>
          <w:color w:val="000000" w:themeColor="text1"/>
          <w:spacing w:val="15"/>
          <w:sz w:val="32"/>
          <w:szCs w:val="32"/>
        </w:rPr>
      </w:pPr>
      <w:r w:rsidRPr="00DA680A">
        <w:rPr>
          <w:rFonts w:ascii="Algerian" w:eastAsia="SimHei" w:hAnsi="Algerian" w:cs="Times New Roman"/>
          <w:iCs/>
          <w:noProof/>
          <w:color w:val="000000" w:themeColor="text1"/>
          <w:spacing w:val="15"/>
          <w:sz w:val="32"/>
          <w:szCs w:val="32"/>
        </w:rPr>
        <w:t xml:space="preserve">à la médiathèque et téléchargeable </w:t>
      </w:r>
    </w:p>
    <w:p w:rsidR="00BC6451" w:rsidRPr="00DA680A" w:rsidRDefault="00213911" w:rsidP="00DA680A">
      <w:pPr>
        <w:jc w:val="center"/>
        <w:rPr>
          <w:rFonts w:ascii="Algerian" w:eastAsia="SimHei" w:hAnsi="Algerian"/>
          <w:iCs/>
          <w:noProof/>
          <w:color w:val="000000"/>
          <w:spacing w:val="15"/>
          <w:sz w:val="32"/>
          <w:szCs w:val="32"/>
        </w:rPr>
      </w:pPr>
      <w:r w:rsidRPr="00DA680A">
        <w:rPr>
          <w:rFonts w:ascii="Algerian" w:eastAsia="SimHei" w:hAnsi="Algerian" w:cs="Times New Roman"/>
          <w:iCs/>
          <w:noProof/>
          <w:color w:val="000000" w:themeColor="text1"/>
          <w:spacing w:val="15"/>
          <w:sz w:val="32"/>
          <w:szCs w:val="32"/>
        </w:rPr>
        <w:t>depuis</w:t>
      </w:r>
      <w:r w:rsidR="002C3E6D" w:rsidRPr="00DA680A">
        <w:rPr>
          <w:rFonts w:ascii="Algerian" w:eastAsia="SimHei" w:hAnsi="Algerian" w:cs="Times New Roman"/>
          <w:iCs/>
          <w:noProof/>
          <w:color w:val="000000" w:themeColor="text1"/>
          <w:spacing w:val="15"/>
          <w:sz w:val="32"/>
          <w:szCs w:val="32"/>
        </w:rPr>
        <w:t xml:space="preserve"> l’ENT</w:t>
      </w:r>
    </w:p>
    <w:p w:rsidR="00BC6451" w:rsidRPr="00DA680A" w:rsidRDefault="00BC6451" w:rsidP="00DA680A">
      <w:pPr>
        <w:jc w:val="center"/>
        <w:rPr>
          <w:rFonts w:ascii="Agency FB" w:eastAsia="SimHei" w:hAnsi="Agency FB"/>
          <w:iCs/>
          <w:noProof/>
          <w:color w:val="000000"/>
          <w:spacing w:val="15"/>
          <w:sz w:val="96"/>
          <w:szCs w:val="96"/>
        </w:rPr>
      </w:pPr>
      <w:r>
        <w:rPr>
          <w:noProof/>
          <w:lang w:eastAsia="fr-FR"/>
        </w:rPr>
        <w:drawing>
          <wp:inline distT="0" distB="0" distL="0" distR="0" wp14:anchorId="4437E919" wp14:editId="2FF632E8">
            <wp:extent cx="4848225" cy="971550"/>
            <wp:effectExtent l="0" t="0" r="9525" b="0"/>
            <wp:docPr id="1" name="Image 2" descr="Description : http://espe.univ-toulouse.fr/images/iufm/bandeau_accu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http://espe.univ-toulouse.fr/images/iufm/bandeau_accue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354"/>
        <w:gridCol w:w="6968"/>
      </w:tblGrid>
      <w:tr w:rsidR="00BC6451" w:rsidTr="008D3546">
        <w:trPr>
          <w:trHeight w:val="8669"/>
        </w:trPr>
        <w:tc>
          <w:tcPr>
            <w:tcW w:w="2354" w:type="dxa"/>
            <w:shd w:val="clear" w:color="auto" w:fill="EAF1DD" w:themeFill="accent3" w:themeFillTint="33"/>
          </w:tcPr>
          <w:p w:rsidR="00A24817" w:rsidRDefault="00A24817" w:rsidP="003656F3">
            <w:pPr>
              <w:rPr>
                <w:noProof/>
                <w:lang w:eastAsia="fr-FR"/>
              </w:rPr>
            </w:pPr>
          </w:p>
          <w:p w:rsidR="00A24817" w:rsidRDefault="00A24817" w:rsidP="003656F3">
            <w:pPr>
              <w:rPr>
                <w:noProof/>
                <w:lang w:eastAsia="fr-FR"/>
              </w:rPr>
            </w:pPr>
          </w:p>
          <w:p w:rsidR="00BC6451" w:rsidRDefault="00BC6451" w:rsidP="00B416A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1E4053" wp14:editId="23965219">
                  <wp:extent cx="771525" cy="1095375"/>
                  <wp:effectExtent l="0" t="0" r="9525" b="9525"/>
                  <wp:docPr id="6" name="Image 3" descr="Description : Vers page d'accueil PRES Université de Toul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Vers page d'accueil PRES Université de Toul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451" w:rsidRDefault="00BC6451" w:rsidP="003656F3"/>
          <w:p w:rsidR="00BC6451" w:rsidRDefault="00BC6451" w:rsidP="003656F3"/>
          <w:p w:rsidR="004046F3" w:rsidRDefault="004046F3" w:rsidP="003656F3"/>
          <w:p w:rsidR="004046F3" w:rsidRDefault="004046F3" w:rsidP="003656F3"/>
          <w:p w:rsidR="004046F3" w:rsidRDefault="004046F3" w:rsidP="003656F3"/>
          <w:p w:rsidR="00BC6451" w:rsidRDefault="00BC6451" w:rsidP="00B416AB">
            <w:pPr>
              <w:jc w:val="center"/>
            </w:pPr>
            <w:r w:rsidRPr="00D57A40">
              <w:rPr>
                <w:noProof/>
                <w:lang w:eastAsia="fr-FR"/>
              </w:rPr>
              <w:drawing>
                <wp:inline distT="0" distB="0" distL="0" distR="0" wp14:anchorId="58D8476C" wp14:editId="7C38E740">
                  <wp:extent cx="1353119" cy="41013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Q texte noi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630" cy="411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6451" w:rsidRDefault="00BC6451" w:rsidP="003656F3"/>
          <w:p w:rsidR="00BC6451" w:rsidRDefault="00BC6451" w:rsidP="003656F3"/>
          <w:p w:rsidR="004046F3" w:rsidRDefault="004046F3" w:rsidP="003656F3"/>
          <w:p w:rsidR="004046F3" w:rsidRDefault="004046F3" w:rsidP="003656F3"/>
          <w:p w:rsidR="004046F3" w:rsidRDefault="004046F3" w:rsidP="003656F3"/>
          <w:p w:rsidR="00BC6451" w:rsidRDefault="00BC6451" w:rsidP="00B416A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0C8D78" wp14:editId="329BFACD">
                  <wp:extent cx="1352550" cy="419100"/>
                  <wp:effectExtent l="0" t="0" r="0" b="0"/>
                  <wp:docPr id="8" name="Image 1" descr="Description : Vers page d'accueil Ecole supérieure du professorat et de l'éducation (ESP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Vers page d'accueil Ecole supérieure du professorat et de l'éducation (ESP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C6B" w:rsidRPr="00CD6CE0" w:rsidRDefault="00DF2C6B" w:rsidP="000A01A9">
            <w:pPr>
              <w:pStyle w:val="SidebarText"/>
              <w:ind w:left="0"/>
              <w:rPr>
                <w:lang w:val="fr-FR"/>
              </w:rPr>
            </w:pPr>
          </w:p>
        </w:tc>
        <w:tc>
          <w:tcPr>
            <w:tcW w:w="6968" w:type="dxa"/>
          </w:tcPr>
          <w:p w:rsidR="00064A1E" w:rsidRPr="005571C0" w:rsidRDefault="00064A1E" w:rsidP="00064A1E">
            <w:pPr>
              <w:pStyle w:val="SidebarHeading"/>
              <w:ind w:left="42"/>
              <w:jc w:val="center"/>
              <w:rPr>
                <w:noProof/>
                <w:color w:val="0070C0"/>
                <w:lang w:val="fr-FR"/>
              </w:rPr>
            </w:pPr>
            <w:r w:rsidRPr="005571C0">
              <w:rPr>
                <w:noProof/>
                <w:color w:val="0070C0"/>
                <w:lang w:val="fr-FR"/>
              </w:rPr>
              <w:t>Titres des périodiques :</w:t>
            </w:r>
          </w:p>
          <w:p w:rsidR="00064A1E" w:rsidRPr="004046F3" w:rsidRDefault="00064A1E" w:rsidP="00064A1E">
            <w:pPr>
              <w:jc w:val="center"/>
              <w:rPr>
                <w:rFonts w:ascii="Agency FB" w:eastAsia="SimHei" w:hAnsi="Agency FB" w:cs="Times New Roman"/>
                <w:iCs/>
                <w:noProof/>
                <w:color w:val="000000" w:themeColor="text1"/>
                <w:spacing w:val="15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17"/>
              <w:gridCol w:w="3325"/>
            </w:tblGrid>
            <w:tr w:rsidR="00064A1E" w:rsidTr="00B416AB">
              <w:tc>
                <w:tcPr>
                  <w:tcW w:w="3459" w:type="dxa"/>
                </w:tcPr>
                <w:p w:rsidR="00064A1E" w:rsidRPr="008D3546" w:rsidRDefault="008D3546" w:rsidP="00A24817">
                  <w:pPr>
                    <w:pStyle w:val="SidebarText"/>
                    <w:ind w:left="0"/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t xml:space="preserve">         </w:t>
                  </w:r>
                  <w:r w:rsidR="00A24817">
                    <w:rPr>
                      <w:noProof/>
                      <w:lang w:val="fr-FR"/>
                    </w:rPr>
                    <w:t xml:space="preserve"> </w:t>
                  </w:r>
                  <w:r w:rsidR="00A24817" w:rsidRPr="00D50692">
                    <w:rPr>
                      <w:noProof/>
                      <w:lang w:val="fr-FR"/>
                    </w:rPr>
                    <w:t xml:space="preserve"> </w:t>
                  </w:r>
                  <w:r w:rsidR="00064A1E" w:rsidRPr="00D50692">
                    <w:rPr>
                      <w:i/>
                      <w:noProof/>
                      <w:lang w:val="fr-FR"/>
                    </w:rPr>
                    <w:t>-</w:t>
                  </w:r>
                  <w:r w:rsidR="00D50692">
                    <w:rPr>
                      <w:i/>
                      <w:noProof/>
                      <w:lang w:val="fr-FR"/>
                    </w:rPr>
                    <w:t xml:space="preserve">        </w:t>
                  </w:r>
                  <w:r w:rsidR="00DA680A">
                    <w:rPr>
                      <w:i/>
                      <w:noProof/>
                      <w:u w:val="single"/>
                      <w:lang w:val="fr-FR"/>
                    </w:rPr>
                    <w:t>Animation &amp; éducation</w:t>
                  </w:r>
                </w:p>
                <w:p w:rsidR="00DA680A" w:rsidRPr="00064A1E" w:rsidRDefault="00DA680A" w:rsidP="00A24817">
                  <w:pPr>
                    <w:pStyle w:val="SidebarText"/>
                    <w:ind w:left="0"/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lang w:val="fr-FR"/>
                    </w:rPr>
                    <w:t xml:space="preserve">           </w:t>
                  </w:r>
                  <w:r w:rsidRPr="00D50692">
                    <w:rPr>
                      <w:i/>
                      <w:noProof/>
                      <w:lang w:val="fr-FR"/>
                    </w:rPr>
                    <w:t>-</w:t>
                  </w:r>
                  <w:r>
                    <w:rPr>
                      <w:i/>
                      <w:noProof/>
                      <w:lang w:val="fr-FR"/>
                    </w:rPr>
                    <w:t xml:space="preserve">        </w:t>
                  </w:r>
                  <w:r>
                    <w:rPr>
                      <w:i/>
                      <w:noProof/>
                      <w:u w:val="single"/>
                      <w:lang w:val="fr-FR"/>
                    </w:rPr>
                    <w:t>Cahiers pédagogiques</w:t>
                  </w:r>
                </w:p>
                <w:p w:rsidR="00064A1E" w:rsidRDefault="00064A1E" w:rsidP="00064A1E">
                  <w:pPr>
                    <w:pStyle w:val="SidebarText"/>
                    <w:ind w:left="388"/>
                    <w:rPr>
                      <w:i/>
                      <w:noProof/>
                      <w:u w:val="single"/>
                      <w:lang w:val="fr-FR"/>
                    </w:rPr>
                  </w:pPr>
                  <w:r w:rsidRPr="00D50692">
                    <w:rPr>
                      <w:i/>
                      <w:noProof/>
                      <w:lang w:val="fr-FR"/>
                    </w:rPr>
                    <w:t>-</w:t>
                  </w:r>
                  <w:r w:rsidR="00D50692">
                    <w:rPr>
                      <w:i/>
                      <w:noProof/>
                      <w:lang w:val="fr-FR"/>
                    </w:rPr>
                    <w:t xml:space="preserve">        </w:t>
                  </w:r>
                  <w:r w:rsidRPr="00D50692">
                    <w:rPr>
                      <w:i/>
                      <w:noProof/>
                      <w:lang w:val="fr-FR"/>
                    </w:rPr>
                    <w:t xml:space="preserve"> </w:t>
                  </w:r>
                  <w:r>
                    <w:rPr>
                      <w:i/>
                      <w:noProof/>
                      <w:u w:val="single"/>
                      <w:lang w:val="fr-FR"/>
                    </w:rPr>
                    <w:t>Sciences humaines</w:t>
                  </w:r>
                </w:p>
                <w:p w:rsidR="00064A1E" w:rsidRPr="005571C0" w:rsidRDefault="00064A1E" w:rsidP="00064A1E">
                  <w:pPr>
                    <w:pStyle w:val="SidebarText"/>
                    <w:ind w:left="0"/>
                    <w:jc w:val="center"/>
                    <w:rPr>
                      <w:noProof/>
                      <w:color w:val="0070C0"/>
                      <w:u w:val="single"/>
                      <w:lang w:val="fr-FR"/>
                    </w:rPr>
                  </w:pPr>
                  <w:r w:rsidRPr="005571C0">
                    <w:rPr>
                      <w:rFonts w:asciiTheme="majorHAnsi" w:hAnsiTheme="majorHAnsi"/>
                      <w:noProof/>
                      <w:color w:val="0070C0"/>
                      <w:u w:val="single"/>
                      <w:lang w:val="fr-FR"/>
                    </w:rPr>
                    <w:t>Hôtellerie / Restauration</w:t>
                  </w:r>
                  <w:r w:rsidRPr="005571C0">
                    <w:rPr>
                      <w:noProof/>
                      <w:color w:val="0070C0"/>
                      <w:u w:val="single"/>
                      <w:lang w:val="fr-FR"/>
                    </w:rPr>
                    <w:t> :</w:t>
                  </w:r>
                </w:p>
                <w:p w:rsidR="00064A1E" w:rsidRPr="00064A1E" w:rsidRDefault="00064A1E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B.R.A.</w:t>
                  </w:r>
                </w:p>
                <w:p w:rsidR="0032380E" w:rsidRPr="00064A1E" w:rsidRDefault="0032380E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Grandes cuisines</w:t>
                  </w:r>
                </w:p>
                <w:p w:rsidR="00064A1E" w:rsidRPr="00064A1E" w:rsidRDefault="00064A1E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L’industrie Hôtelière</w:t>
                  </w:r>
                </w:p>
                <w:p w:rsidR="00064A1E" w:rsidRPr="00064A1E" w:rsidRDefault="00064A1E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Le journal du pâtissier</w:t>
                  </w:r>
                </w:p>
                <w:p w:rsidR="00064A1E" w:rsidRDefault="00064A1E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Néo restauration</w:t>
                  </w:r>
                </w:p>
                <w:p w:rsidR="00DF7D49" w:rsidRPr="00064A1E" w:rsidRDefault="00DF7D49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Restauration collective</w:t>
                  </w:r>
                </w:p>
                <w:p w:rsidR="00064A1E" w:rsidRDefault="00064A1E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Thuriès</w:t>
                  </w:r>
                </w:p>
                <w:p w:rsidR="004046F3" w:rsidRPr="005571C0" w:rsidRDefault="004046F3" w:rsidP="004046F3">
                  <w:pPr>
                    <w:pStyle w:val="SidebarText"/>
                    <w:ind w:left="748"/>
                    <w:jc w:val="center"/>
                    <w:rPr>
                      <w:rFonts w:asciiTheme="majorHAnsi" w:hAnsiTheme="majorHAnsi"/>
                      <w:noProof/>
                      <w:color w:val="0070C0"/>
                      <w:u w:val="single"/>
                      <w:lang w:val="fr-FR"/>
                    </w:rPr>
                  </w:pPr>
                  <w:r w:rsidRPr="005571C0">
                    <w:rPr>
                      <w:rFonts w:asciiTheme="majorHAnsi" w:hAnsiTheme="majorHAnsi"/>
                      <w:noProof/>
                      <w:color w:val="0070C0"/>
                      <w:u w:val="single"/>
                      <w:lang w:val="fr-FR"/>
                    </w:rPr>
                    <w:t>Sport :</w:t>
                  </w:r>
                </w:p>
                <w:p w:rsidR="004046F3" w:rsidRDefault="004046F3" w:rsidP="004046F3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 w:rsidRPr="00064A1E">
                    <w:rPr>
                      <w:i/>
                      <w:noProof/>
                      <w:u w:val="single"/>
                      <w:lang w:val="fr-FR"/>
                    </w:rPr>
                    <w:t>Contre pied</w:t>
                  </w:r>
                </w:p>
                <w:p w:rsidR="004046F3" w:rsidRPr="00064A1E" w:rsidRDefault="004046F3" w:rsidP="004046F3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 w:rsidRPr="00064A1E">
                    <w:rPr>
                      <w:i/>
                      <w:noProof/>
                      <w:u w:val="single"/>
                      <w:lang w:val="fr-FR"/>
                    </w:rPr>
                    <w:t>En jeu</w:t>
                  </w:r>
                  <w:r w:rsidR="00BF54A3">
                    <w:rPr>
                      <w:i/>
                      <w:noProof/>
                      <w:lang w:val="fr-FR"/>
                    </w:rPr>
                    <w:t xml:space="preserve"> : </w:t>
                  </w:r>
                  <w:r>
                    <w:rPr>
                      <w:i/>
                      <w:noProof/>
                      <w:lang w:val="fr-FR"/>
                    </w:rPr>
                    <w:t xml:space="preserve"> UFOLEP</w:t>
                  </w:r>
                </w:p>
                <w:p w:rsidR="004046F3" w:rsidRDefault="004046F3" w:rsidP="004046F3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 w:rsidRPr="00064A1E">
                    <w:rPr>
                      <w:i/>
                      <w:noProof/>
                      <w:u w:val="single"/>
                      <w:lang w:val="fr-FR"/>
                    </w:rPr>
                    <w:t>Enseigner l’EPS</w:t>
                  </w:r>
                </w:p>
                <w:p w:rsidR="004046F3" w:rsidRDefault="004046F3" w:rsidP="004046F3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 w:rsidRPr="00064A1E">
                    <w:rPr>
                      <w:i/>
                      <w:noProof/>
                      <w:u w:val="single"/>
                      <w:lang w:val="fr-FR"/>
                    </w:rPr>
                    <w:t>La revue EP&amp;S</w:t>
                  </w:r>
                </w:p>
                <w:p w:rsidR="00A24817" w:rsidRDefault="00A24817" w:rsidP="00A24817">
                  <w:pPr>
                    <w:pStyle w:val="SidebarText"/>
                    <w:ind w:left="0"/>
                    <w:jc w:val="center"/>
                    <w:rPr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color w:val="4F81BD" w:themeColor="accent1"/>
                      <w:lang w:val="fr-FR"/>
                    </w:rPr>
                    <w:t>Arts</w:t>
                  </w:r>
                  <w:r>
                    <w:rPr>
                      <w:noProof/>
                      <w:lang w:val="fr-FR"/>
                    </w:rPr>
                    <w:t> :</w:t>
                  </w:r>
                </w:p>
                <w:p w:rsidR="00A24817" w:rsidRPr="00064A1E" w:rsidRDefault="00E30B63" w:rsidP="00A24817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Etapes</w:t>
                  </w:r>
                </w:p>
                <w:p w:rsidR="00064A1E" w:rsidRPr="000A01A9" w:rsidRDefault="00A24817" w:rsidP="000A01A9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 w:rsidRPr="004046F3">
                    <w:rPr>
                      <w:i/>
                      <w:noProof/>
                      <w:u w:val="single"/>
                      <w:lang w:val="fr-FR"/>
                    </w:rPr>
                    <w:t>Intramuros</w:t>
                  </w:r>
                </w:p>
              </w:tc>
              <w:tc>
                <w:tcPr>
                  <w:tcW w:w="3369" w:type="dxa"/>
                </w:tcPr>
                <w:p w:rsidR="00064A1E" w:rsidRPr="005571C0" w:rsidRDefault="00064A1E" w:rsidP="008D3546">
                  <w:pPr>
                    <w:pStyle w:val="SidebarText"/>
                    <w:ind w:left="0"/>
                    <w:jc w:val="center"/>
                    <w:rPr>
                      <w:noProof/>
                      <w:color w:val="0070C0"/>
                      <w:u w:val="single"/>
                      <w:lang w:val="fr-FR"/>
                    </w:rPr>
                  </w:pPr>
                  <w:r w:rsidRPr="005571C0">
                    <w:rPr>
                      <w:rFonts w:asciiTheme="majorHAnsi" w:hAnsiTheme="majorHAnsi"/>
                      <w:noProof/>
                      <w:color w:val="0070C0"/>
                      <w:u w:val="single"/>
                      <w:lang w:val="fr-FR"/>
                    </w:rPr>
                    <w:t>Sciences &amp; techniques</w:t>
                  </w:r>
                  <w:r w:rsidRPr="005571C0">
                    <w:rPr>
                      <w:noProof/>
                      <w:color w:val="0070C0"/>
                      <w:u w:val="single"/>
                      <w:lang w:val="fr-FR"/>
                    </w:rPr>
                    <w:t> :</w:t>
                  </w:r>
                </w:p>
                <w:p w:rsidR="0053228A" w:rsidRPr="0053228A" w:rsidRDefault="005C6FE8" w:rsidP="0053228A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Au fil des maths</w:t>
                  </w:r>
                </w:p>
                <w:p w:rsidR="00064A1E" w:rsidRDefault="00064A1E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Le BUP</w:t>
                  </w:r>
                </w:p>
                <w:p w:rsidR="001B1E43" w:rsidRDefault="00424EE8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C</w:t>
                  </w:r>
                  <w:r w:rsidR="001B1E43">
                    <w:rPr>
                      <w:i/>
                      <w:noProof/>
                      <w:u w:val="single"/>
                      <w:lang w:val="fr-FR"/>
                    </w:rPr>
                    <w:t>osinus</w:t>
                  </w:r>
                </w:p>
                <w:p w:rsidR="000A4829" w:rsidRPr="00064A1E" w:rsidRDefault="000A4829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DDV (Droit De Vivre)</w:t>
                  </w:r>
                  <w:bookmarkStart w:id="0" w:name="_GoBack"/>
                  <w:bookmarkEnd w:id="0"/>
                </w:p>
                <w:p w:rsidR="00064A1E" w:rsidRDefault="00064A1E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 w:rsidRPr="00A16F6C">
                    <w:rPr>
                      <w:i/>
                      <w:noProof/>
                      <w:u w:val="single"/>
                      <w:lang w:val="fr-FR"/>
                    </w:rPr>
                    <w:t>La maison écologique</w:t>
                  </w:r>
                </w:p>
                <w:p w:rsidR="009725BB" w:rsidRPr="00064A1E" w:rsidRDefault="009725BB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La recherche</w:t>
                  </w:r>
                </w:p>
                <w:p w:rsidR="00064A1E" w:rsidRPr="00064A1E" w:rsidRDefault="00064A1E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Pour la science</w:t>
                  </w:r>
                </w:p>
                <w:p w:rsidR="00064A1E" w:rsidRDefault="00064A1E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RDST</w:t>
                  </w:r>
                </w:p>
                <w:p w:rsidR="00026F8A" w:rsidRPr="00064A1E" w:rsidRDefault="00026F8A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La Recherche</w:t>
                  </w:r>
                </w:p>
                <w:p w:rsidR="00064A1E" w:rsidRPr="00064A1E" w:rsidRDefault="00064A1E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Recherche en didactique des mathématiques</w:t>
                  </w:r>
                </w:p>
                <w:p w:rsidR="00064A1E" w:rsidRPr="00064A1E" w:rsidRDefault="00064A1E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Repères</w:t>
                  </w:r>
                </w:p>
                <w:p w:rsidR="005C6FE8" w:rsidRPr="00064A1E" w:rsidRDefault="005C6FE8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Sciences et avenir + H.S.</w:t>
                  </w:r>
                </w:p>
                <w:p w:rsidR="00064A1E" w:rsidRDefault="001B1E43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Tangente l’ave</w:t>
                  </w:r>
                  <w:r w:rsidR="00064A1E">
                    <w:rPr>
                      <w:i/>
                      <w:noProof/>
                      <w:u w:val="single"/>
                      <w:lang w:val="fr-FR"/>
                    </w:rPr>
                    <w:t>nture mathématique</w:t>
                  </w:r>
                </w:p>
                <w:p w:rsidR="0060565C" w:rsidRPr="00064A1E" w:rsidRDefault="0060565C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Tangente l’aventure mathématique (H.S.)</w:t>
                  </w:r>
                </w:p>
                <w:p w:rsidR="00064A1E" w:rsidRDefault="00064A1E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Tangente éducation</w:t>
                  </w:r>
                </w:p>
                <w:p w:rsidR="00291A9D" w:rsidRDefault="00291A9D" w:rsidP="00064A1E">
                  <w:pPr>
                    <w:pStyle w:val="SidebarText"/>
                    <w:numPr>
                      <w:ilvl w:val="0"/>
                      <w:numId w:val="7"/>
                    </w:numPr>
                    <w:rPr>
                      <w:i/>
                      <w:noProof/>
                      <w:u w:val="single"/>
                      <w:lang w:val="fr-FR"/>
                    </w:rPr>
                  </w:pPr>
                  <w:r>
                    <w:rPr>
                      <w:i/>
                      <w:noProof/>
                      <w:u w:val="single"/>
                      <w:lang w:val="fr-FR"/>
                    </w:rPr>
                    <w:t>Tangente bibliothèque</w:t>
                  </w:r>
                </w:p>
                <w:p w:rsidR="00064A1E" w:rsidRPr="0053228A" w:rsidRDefault="00064A1E" w:rsidP="005C6FE8">
                  <w:pPr>
                    <w:pStyle w:val="SidebarText"/>
                    <w:ind w:left="388"/>
                    <w:rPr>
                      <w:i/>
                      <w:noProof/>
                      <w:u w:val="single"/>
                      <w:lang w:val="fr-FR"/>
                    </w:rPr>
                  </w:pPr>
                </w:p>
              </w:tc>
            </w:tr>
          </w:tbl>
          <w:p w:rsidR="00064A1E" w:rsidRPr="00064A1E" w:rsidRDefault="00064A1E" w:rsidP="004046F3">
            <w:pPr>
              <w:pStyle w:val="SidebarText"/>
              <w:ind w:left="0"/>
              <w:rPr>
                <w:i/>
                <w:noProof/>
                <w:u w:val="single"/>
                <w:lang w:val="fr-FR"/>
              </w:rPr>
            </w:pPr>
          </w:p>
        </w:tc>
      </w:tr>
    </w:tbl>
    <w:p w:rsidR="00950FB0" w:rsidRDefault="00950FB0" w:rsidP="000A01A9"/>
    <w:sectPr w:rsidR="0095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3" o:spid="_x0000_i1026" type="#_x0000_t75" style="width:107pt;height:25.5pt;visibility:visible;mso-wrap-style:square" o:bullet="t">
        <v:imagedata r:id="rId1" o:title=""/>
      </v:shape>
    </w:pict>
  </w:numPicBullet>
  <w:abstractNum w:abstractNumId="0" w15:restartNumberingAfterBreak="0">
    <w:nsid w:val="08EE3889"/>
    <w:multiLevelType w:val="hybridMultilevel"/>
    <w:tmpl w:val="308CC1A8"/>
    <w:lvl w:ilvl="0" w:tplc="1B70FDA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284"/>
    <w:multiLevelType w:val="hybridMultilevel"/>
    <w:tmpl w:val="BA4A4C5A"/>
    <w:lvl w:ilvl="0" w:tplc="8BAE269C">
      <w:numFmt w:val="bullet"/>
      <w:lvlText w:val="-"/>
      <w:lvlJc w:val="left"/>
      <w:pPr>
        <w:ind w:left="1080" w:hanging="360"/>
      </w:pPr>
      <w:rPr>
        <w:rFonts w:ascii="Agency FB" w:eastAsia="Times New Roman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33B3F"/>
    <w:multiLevelType w:val="hybridMultilevel"/>
    <w:tmpl w:val="2FFE80B4"/>
    <w:lvl w:ilvl="0" w:tplc="098ED038">
      <w:start w:val="1"/>
      <w:numFmt w:val="bullet"/>
      <w:lvlText w:val=""/>
      <w:lvlPicBulletId w:val="0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70362D3E" w:tentative="1">
      <w:start w:val="1"/>
      <w:numFmt w:val="bullet"/>
      <w:lvlText w:val=""/>
      <w:lvlJc w:val="left"/>
      <w:pPr>
        <w:tabs>
          <w:tab w:val="num" w:pos="4482"/>
        </w:tabs>
        <w:ind w:left="4482" w:hanging="360"/>
      </w:pPr>
      <w:rPr>
        <w:rFonts w:ascii="Symbol" w:hAnsi="Symbol" w:hint="default"/>
      </w:rPr>
    </w:lvl>
    <w:lvl w:ilvl="2" w:tplc="28B03942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3" w:tplc="E6501EF2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87C2A998" w:tentative="1">
      <w:start w:val="1"/>
      <w:numFmt w:val="bullet"/>
      <w:lvlText w:val=""/>
      <w:lvlJc w:val="left"/>
      <w:pPr>
        <w:tabs>
          <w:tab w:val="num" w:pos="6642"/>
        </w:tabs>
        <w:ind w:left="6642" w:hanging="360"/>
      </w:pPr>
      <w:rPr>
        <w:rFonts w:ascii="Symbol" w:hAnsi="Symbol" w:hint="default"/>
      </w:rPr>
    </w:lvl>
    <w:lvl w:ilvl="5" w:tplc="C540D58E" w:tentative="1">
      <w:start w:val="1"/>
      <w:numFmt w:val="bullet"/>
      <w:lvlText w:val=""/>
      <w:lvlJc w:val="left"/>
      <w:pPr>
        <w:tabs>
          <w:tab w:val="num" w:pos="7362"/>
        </w:tabs>
        <w:ind w:left="7362" w:hanging="360"/>
      </w:pPr>
      <w:rPr>
        <w:rFonts w:ascii="Symbol" w:hAnsi="Symbol" w:hint="default"/>
      </w:rPr>
    </w:lvl>
    <w:lvl w:ilvl="6" w:tplc="371C8A90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45BC8C2E" w:tentative="1">
      <w:start w:val="1"/>
      <w:numFmt w:val="bullet"/>
      <w:lvlText w:val=""/>
      <w:lvlJc w:val="left"/>
      <w:pPr>
        <w:tabs>
          <w:tab w:val="num" w:pos="8802"/>
        </w:tabs>
        <w:ind w:left="8802" w:hanging="360"/>
      </w:pPr>
      <w:rPr>
        <w:rFonts w:ascii="Symbol" w:hAnsi="Symbol" w:hint="default"/>
      </w:rPr>
    </w:lvl>
    <w:lvl w:ilvl="8" w:tplc="4D307886" w:tentative="1">
      <w:start w:val="1"/>
      <w:numFmt w:val="bullet"/>
      <w:lvlText w:val=""/>
      <w:lvlJc w:val="left"/>
      <w:pPr>
        <w:tabs>
          <w:tab w:val="num" w:pos="9522"/>
        </w:tabs>
        <w:ind w:left="9522" w:hanging="360"/>
      </w:pPr>
      <w:rPr>
        <w:rFonts w:ascii="Symbol" w:hAnsi="Symbol" w:hint="default"/>
      </w:rPr>
    </w:lvl>
  </w:abstractNum>
  <w:abstractNum w:abstractNumId="3" w15:restartNumberingAfterBreak="0">
    <w:nsid w:val="23B47032"/>
    <w:multiLevelType w:val="hybridMultilevel"/>
    <w:tmpl w:val="272AD634"/>
    <w:lvl w:ilvl="0" w:tplc="5F64D7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392C"/>
    <w:multiLevelType w:val="hybridMultilevel"/>
    <w:tmpl w:val="AB54445C"/>
    <w:lvl w:ilvl="0" w:tplc="6D5CE924">
      <w:numFmt w:val="bullet"/>
      <w:lvlText w:val="-"/>
      <w:lvlJc w:val="left"/>
      <w:pPr>
        <w:ind w:left="748" w:hanging="360"/>
      </w:pPr>
      <w:rPr>
        <w:rFonts w:ascii="Calibri" w:eastAsia="Batang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47FB219E"/>
    <w:multiLevelType w:val="hybridMultilevel"/>
    <w:tmpl w:val="3CC8178E"/>
    <w:lvl w:ilvl="0" w:tplc="69C66B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9300F"/>
    <w:multiLevelType w:val="hybridMultilevel"/>
    <w:tmpl w:val="49302924"/>
    <w:lvl w:ilvl="0" w:tplc="B2C84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3A342A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227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41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4A7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DC5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226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E0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0A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51"/>
    <w:rsid w:val="00026F8A"/>
    <w:rsid w:val="00064A1E"/>
    <w:rsid w:val="000A01A9"/>
    <w:rsid w:val="000A4829"/>
    <w:rsid w:val="001B1E43"/>
    <w:rsid w:val="00213911"/>
    <w:rsid w:val="00291A9D"/>
    <w:rsid w:val="002C3E6D"/>
    <w:rsid w:val="0032380E"/>
    <w:rsid w:val="00367BCA"/>
    <w:rsid w:val="004046F3"/>
    <w:rsid w:val="00424EE8"/>
    <w:rsid w:val="0053228A"/>
    <w:rsid w:val="005571C0"/>
    <w:rsid w:val="005C6FE8"/>
    <w:rsid w:val="0060565C"/>
    <w:rsid w:val="00677937"/>
    <w:rsid w:val="0077482B"/>
    <w:rsid w:val="008D3546"/>
    <w:rsid w:val="00950FB0"/>
    <w:rsid w:val="009725BB"/>
    <w:rsid w:val="00987551"/>
    <w:rsid w:val="00A24817"/>
    <w:rsid w:val="00B416AB"/>
    <w:rsid w:val="00BC6451"/>
    <w:rsid w:val="00BF54A3"/>
    <w:rsid w:val="00C2624D"/>
    <w:rsid w:val="00C73F4A"/>
    <w:rsid w:val="00D50692"/>
    <w:rsid w:val="00DA680A"/>
    <w:rsid w:val="00DF2C6B"/>
    <w:rsid w:val="00DF7D49"/>
    <w:rsid w:val="00E3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2A9F76"/>
  <w15:docId w15:val="{8AE5766F-C84C-4991-B69C-2497EA1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6451"/>
    <w:pPr>
      <w:ind w:left="720"/>
      <w:contextualSpacing/>
    </w:pPr>
  </w:style>
  <w:style w:type="paragraph" w:customStyle="1" w:styleId="SidebarText">
    <w:name w:val="Sidebar Text"/>
    <w:basedOn w:val="Normal"/>
    <w:qFormat/>
    <w:rsid w:val="00BC6451"/>
    <w:pPr>
      <w:spacing w:after="180" w:line="240" w:lineRule="auto"/>
      <w:ind w:left="-216" w:right="-144"/>
    </w:pPr>
    <w:rPr>
      <w:rFonts w:eastAsia="Batang"/>
      <w:color w:val="262626" w:themeColor="text1" w:themeTint="D9"/>
      <w:sz w:val="16"/>
      <w:lang w:val="en-US"/>
    </w:rPr>
  </w:style>
  <w:style w:type="paragraph" w:customStyle="1" w:styleId="SidebarHeading">
    <w:name w:val="Sidebar Heading"/>
    <w:basedOn w:val="Normal"/>
    <w:qFormat/>
    <w:rsid w:val="00BC6451"/>
    <w:pPr>
      <w:spacing w:before="120" w:after="0" w:line="240" w:lineRule="auto"/>
      <w:ind w:left="-216" w:right="-144"/>
    </w:pPr>
    <w:rPr>
      <w:rFonts w:asciiTheme="majorHAnsi" w:eastAsia="Batang" w:hAnsiTheme="majorHAnsi"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6E9E-A1F2-476E-88A2-F5F0EA3B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SALLE8</dc:creator>
  <cp:lastModifiedBy>Christine LUCAS</cp:lastModifiedBy>
  <cp:revision>28</cp:revision>
  <cp:lastPrinted>2014-11-27T13:04:00Z</cp:lastPrinted>
  <dcterms:created xsi:type="dcterms:W3CDTF">2014-11-27T09:05:00Z</dcterms:created>
  <dcterms:modified xsi:type="dcterms:W3CDTF">2022-01-07T08:23:00Z</dcterms:modified>
</cp:coreProperties>
</file>